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0DA" w:rsidRPr="00F850DA" w:rsidRDefault="00F0073A" w:rsidP="00F850DA">
      <w:pPr>
        <w:jc w:val="center"/>
        <w:rPr>
          <w:b/>
        </w:rPr>
      </w:pPr>
      <w:r>
        <w:rPr>
          <w:b/>
        </w:rPr>
        <w:t>A propos de l’écriture de la concentration en ion oxonium à partir d’une mesure de pH</w:t>
      </w:r>
    </w:p>
    <w:p w:rsidR="00F850DA" w:rsidRDefault="00F850DA"/>
    <w:p w:rsidR="00F850DA" w:rsidRDefault="00F850DA">
      <w:pPr>
        <w:rPr>
          <w:sz w:val="32"/>
        </w:rPr>
      </w:pPr>
      <w:r>
        <w:t>La fonction de mesure est </w:t>
      </w:r>
      <w:r w:rsidRPr="00487BBA">
        <w:rPr>
          <w:b/>
          <w:sz w:val="28"/>
          <w:szCs w:val="28"/>
        </w:rPr>
        <w:t xml:space="preserve">: </w:t>
      </w:r>
      <m:oMath>
        <m:r>
          <m:rPr>
            <m:nor/>
          </m:rPr>
          <w:rPr>
            <w:rFonts w:ascii="Cambria Math" w:hAnsi="Cambria Math"/>
            <w:b/>
            <w:sz w:val="28"/>
            <w:szCs w:val="28"/>
          </w:rPr>
          <m:t>pH= - log(</m:t>
        </m:r>
        <m:r>
          <m:rPr>
            <m:nor/>
          </m:rPr>
          <w:rPr>
            <w:rFonts w:ascii="Cambria Math" w:hAnsi="Cambria Math"/>
            <w:b/>
            <w:i/>
            <w:sz w:val="28"/>
            <w:szCs w:val="28"/>
          </w:rPr>
          <m:t>x</m:t>
        </m:r>
        <m:r>
          <m:rPr>
            <m:nor/>
          </m:rPr>
          <w:rPr>
            <w:rFonts w:ascii="Cambria Math" w:hAnsi="Cambria Math"/>
            <w:b/>
            <w:sz w:val="28"/>
            <w:szCs w:val="28"/>
          </w:rPr>
          <m:t>)</m:t>
        </m:r>
      </m:oMath>
      <w:r w:rsidR="009811A6">
        <w:t xml:space="preserve"> </w:t>
      </w:r>
      <w:r w:rsidR="004923FE">
        <w:t xml:space="preserve"> </w:t>
      </w:r>
      <w:r w:rsidR="009811A6">
        <w:t xml:space="preserve">avec </w:t>
      </w:r>
      <w:r w:rsidR="009811A6" w:rsidRPr="003761D1">
        <w:rPr>
          <w:i/>
        </w:rPr>
        <w:t>x</w:t>
      </w:r>
      <w:r w:rsidR="009811A6">
        <w:t xml:space="preserve"> : concentration en ions </w:t>
      </w:r>
      <m:oMath>
        <m:sSub>
          <m:sSubPr>
            <m:ctrlPr>
              <w:rPr>
                <w:rFonts w:ascii="Cambria Math" w:hAnsi="Cambria Math"/>
                <w:i/>
                <w:sz w:val="32"/>
              </w:rPr>
            </m:ctrlPr>
          </m:sSubPr>
          <m:e>
            <m:r>
              <w:rPr>
                <w:rFonts w:ascii="Cambria Math" w:hAnsi="Cambria Math"/>
                <w:sz w:val="32"/>
              </w:rPr>
              <m:t>H</m:t>
            </m:r>
          </m:e>
          <m:sub>
            <m:r>
              <w:rPr>
                <w:rFonts w:ascii="Cambria Math" w:hAnsi="Cambria Math"/>
                <w:sz w:val="32"/>
              </w:rPr>
              <m:t>3</m:t>
            </m:r>
          </m:sub>
        </m:sSub>
        <m:sSup>
          <m:sSupPr>
            <m:ctrlPr>
              <w:rPr>
                <w:rFonts w:ascii="Cambria Math" w:hAnsi="Cambria Math"/>
                <w:i/>
                <w:sz w:val="32"/>
              </w:rPr>
            </m:ctrlPr>
          </m:sSupPr>
          <m:e>
            <m:r>
              <w:rPr>
                <w:rFonts w:ascii="Cambria Math" w:hAnsi="Cambria Math"/>
                <w:sz w:val="32"/>
              </w:rPr>
              <m:t>O</m:t>
            </m:r>
          </m:e>
          <m:sup>
            <m:r>
              <w:rPr>
                <w:rFonts w:ascii="Cambria Math" w:hAnsi="Cambria Math"/>
                <w:sz w:val="32"/>
              </w:rPr>
              <m:t>+</m:t>
            </m:r>
          </m:sup>
        </m:sSup>
      </m:oMath>
    </w:p>
    <w:p w:rsidR="00487BBA" w:rsidRDefault="00487BBA"/>
    <w:p w:rsidR="00F850DA" w:rsidRDefault="00F850DA">
      <w:r>
        <w:t xml:space="preserve">On suppose que le </w:t>
      </w:r>
      <w:r w:rsidRPr="00F850DA">
        <w:rPr>
          <w:i/>
        </w:rPr>
        <w:t>pH</w:t>
      </w:r>
      <w:r>
        <w:t xml:space="preserve"> est affiché avec deux chiffres significatifs et </w:t>
      </w:r>
      <w:r w:rsidR="004923FE">
        <w:t>on</w:t>
      </w:r>
      <w:r>
        <w:t xml:space="preserve"> ne va prendre en compte que l’incertitude lié à la résolution</w:t>
      </w:r>
      <w:r w:rsidR="004923FE">
        <w:t xml:space="preserve"> </w:t>
      </w:r>
      <w:r w:rsidR="004923FE" w:rsidRPr="00022E7D">
        <w:rPr>
          <w:i/>
        </w:rPr>
        <w:t>q</w:t>
      </w:r>
      <w:r w:rsidR="004923FE">
        <w:t xml:space="preserve"> = 0,1</w:t>
      </w:r>
      <w:r>
        <w:t>.</w:t>
      </w:r>
    </w:p>
    <w:p w:rsidR="00F850DA" w:rsidRDefault="00F850DA"/>
    <w:p w:rsidR="00F850DA" w:rsidRDefault="00F850DA">
      <w:r>
        <w:t>L’incertitude-type sur le pH est</w:t>
      </w:r>
      <w:r w:rsidR="004923FE">
        <w:t xml:space="preserve"> : </w:t>
      </w:r>
      <w:r w:rsidR="004923FE" w:rsidRPr="004923FE">
        <w:rPr>
          <w:position w:val="-30"/>
          <w:sz w:val="32"/>
        </w:rPr>
        <w:object w:dxaOrig="14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34.5pt" o:ole="">
            <v:imagedata r:id="rId7" o:title=""/>
          </v:shape>
          <o:OLEObject Type="Embed" ProgID="Equation.3" ShapeID="_x0000_i1025" DrawAspect="Content" ObjectID="_1417284080" r:id="rId8"/>
        </w:object>
      </w:r>
      <w:r>
        <w:t xml:space="preserve">, </w:t>
      </w:r>
    </w:p>
    <w:p w:rsidR="00F850DA" w:rsidRDefault="00F850DA">
      <w:r>
        <w:t>L’incertitude-type sur</w:t>
      </w:r>
      <w:r w:rsidR="004923FE">
        <w:t xml:space="preserve"> </w:t>
      </w:r>
      <w:r>
        <w:t xml:space="preserve"> x est donc donnée pas la formule déduite des incertitudes composées :</w:t>
      </w:r>
    </w:p>
    <w:p w:rsidR="00204244" w:rsidRDefault="00204244"/>
    <w:p w:rsidR="00204244" w:rsidRDefault="00E632AC" w:rsidP="00204244">
      <w:pPr>
        <w:jc w:val="center"/>
      </w:pPr>
      <m:oMath>
        <m:f>
          <m:fPr>
            <m:ctrlPr>
              <w:rPr>
                <w:rFonts w:ascii="Cambria Math" w:hAnsi="Cambria Math"/>
                <w:b/>
                <w:i/>
                <w:color w:val="FF0000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32"/>
                <w:szCs w:val="32"/>
              </w:rPr>
              <m:t>u(x)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32"/>
                <w:szCs w:val="32"/>
              </w:rPr>
              <m:t>x</m:t>
            </m:r>
          </m:den>
        </m:f>
        <m:r>
          <m:rPr>
            <m:sty m:val="bi"/>
          </m:rPr>
          <w:rPr>
            <w:rFonts w:ascii="Cambria Math" w:hAnsi="Cambria Math"/>
            <w:color w:val="FF0000"/>
            <w:sz w:val="32"/>
            <w:szCs w:val="32"/>
          </w:rPr>
          <m:t>=</m:t>
        </m:r>
        <m:func>
          <m:funcPr>
            <m:ctrlPr>
              <w:rPr>
                <w:rFonts w:ascii="Cambria Math" w:hAnsi="Cambria Math"/>
                <w:b/>
                <w:i/>
                <w:color w:val="FF0000"/>
                <w:sz w:val="32"/>
                <w:szCs w:val="32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color w:val="FF0000"/>
                <w:sz w:val="32"/>
                <w:szCs w:val="32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b/>
                    <w:i/>
                    <w:color w:val="FF0000"/>
                    <w:sz w:val="32"/>
                    <w:szCs w:val="32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  <w:sz w:val="32"/>
                    <w:szCs w:val="32"/>
                  </w:rPr>
                  <m:t>10</m:t>
                </m:r>
              </m:e>
            </m:d>
          </m:e>
        </m:func>
        <m:r>
          <m:rPr>
            <m:sty m:val="bi"/>
          </m:rPr>
          <w:rPr>
            <w:rFonts w:ascii="Cambria Math" w:hAnsi="Cambria Math"/>
            <w:color w:val="FF0000"/>
            <w:sz w:val="32"/>
            <w:szCs w:val="32"/>
          </w:rPr>
          <m:t>×u</m:t>
        </m:r>
        <m:d>
          <m:dPr>
            <m:ctrlPr>
              <w:rPr>
                <w:rFonts w:ascii="Cambria Math" w:hAnsi="Cambria Math"/>
                <w:b/>
                <w:i/>
                <w:color w:val="FF0000"/>
                <w:sz w:val="32"/>
                <w:szCs w:val="32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32"/>
                <w:szCs w:val="32"/>
              </w:rPr>
              <m:t>pH</m:t>
            </m:r>
          </m:e>
        </m:d>
        <m:r>
          <w:rPr>
            <w:rFonts w:ascii="Cambria Math" w:hAnsi="Cambria Math"/>
            <w:sz w:val="32"/>
            <w:szCs w:val="32"/>
          </w:rPr>
          <m:t>≈2,3 ×u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pH</m:t>
            </m:r>
          </m:e>
        </m:d>
        <m:r>
          <w:rPr>
            <w:rFonts w:ascii="Cambria Math" w:hAnsi="Cambria Math"/>
            <w:sz w:val="32"/>
            <w:szCs w:val="32"/>
          </w:rPr>
          <m:t>=2,3 ×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0,05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e>
            </m:rad>
          </m:den>
        </m:f>
      </m:oMath>
      <w:r w:rsidR="00204244">
        <w:t xml:space="preserve"> </w:t>
      </w:r>
    </w:p>
    <w:p w:rsidR="00F850DA" w:rsidRDefault="00F850DA"/>
    <w:p w:rsidR="00F850DA" w:rsidRDefault="00F850DA" w:rsidP="00EB154B">
      <w:pPr>
        <w:jc w:val="center"/>
      </w:pPr>
    </w:p>
    <w:p w:rsidR="00FB331C" w:rsidRDefault="00FB331C" w:rsidP="00EB154B">
      <w:pPr>
        <w:jc w:val="center"/>
      </w:pPr>
    </w:p>
    <w:p w:rsidR="003761D1" w:rsidRDefault="003761D1" w:rsidP="00EB154B">
      <w:pPr>
        <w:jc w:val="center"/>
      </w:pPr>
      <w:r>
        <w:t xml:space="preserve">Rappel : </w:t>
      </w:r>
      <m:oMath>
        <m:r>
          <w:rPr>
            <w:rFonts w:ascii="Cambria Math" w:hAnsi="Cambria Math"/>
            <w:sz w:val="28"/>
            <w:szCs w:val="28"/>
          </w:rPr>
          <m:t xml:space="preserve">dpH= -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2,3</m:t>
            </m:r>
          </m:den>
        </m:f>
        <m:r>
          <w:rPr>
            <w:rFonts w:ascii="Cambria Math" w:hAnsi="Cambria Math"/>
            <w:sz w:val="28"/>
            <w:szCs w:val="28"/>
          </w:rPr>
          <m:t>×dln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 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2,3</m:t>
            </m:r>
          </m:den>
        </m:f>
        <m:r>
          <w:rPr>
            <w:rFonts w:ascii="Cambria Math" w:hAnsi="Cambria Math"/>
            <w:sz w:val="28"/>
            <w:szCs w:val="28"/>
          </w:rPr>
          <m:t>×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dx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x</m:t>
            </m:r>
          </m:den>
        </m:f>
      </m:oMath>
      <w:r w:rsidR="00FB331C">
        <w:t xml:space="preserve">  ce qui donne : </w:t>
      </w:r>
      <m:oMath>
        <m:r>
          <m:rPr>
            <m:sty m:val="bi"/>
          </m:rPr>
          <w:rPr>
            <w:rFonts w:ascii="Cambria Math" w:hAnsi="Cambria Math"/>
            <w:color w:val="0070C0"/>
            <w:sz w:val="32"/>
            <w:szCs w:val="32"/>
          </w:rPr>
          <m:t>u</m:t>
        </m:r>
        <m:d>
          <m:dPr>
            <m:ctrlPr>
              <w:rPr>
                <w:rFonts w:ascii="Cambria Math" w:hAnsi="Cambria Math"/>
                <w:b/>
                <w:i/>
                <w:color w:val="0070C0"/>
                <w:sz w:val="32"/>
                <w:szCs w:val="32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0070C0"/>
                <w:sz w:val="32"/>
                <w:szCs w:val="32"/>
              </w:rPr>
              <m:t>pH</m:t>
            </m:r>
          </m:e>
        </m:d>
        <m:r>
          <m:rPr>
            <m:sty m:val="bi"/>
          </m:rPr>
          <w:rPr>
            <w:rFonts w:ascii="Cambria Math" w:hAnsi="Cambria Math"/>
            <w:color w:val="0070C0"/>
            <w:sz w:val="32"/>
            <w:szCs w:val="32"/>
          </w:rPr>
          <m:t xml:space="preserve">= </m:t>
        </m:r>
        <m:f>
          <m:fPr>
            <m:ctrlPr>
              <w:rPr>
                <w:rFonts w:ascii="Cambria Math" w:hAnsi="Cambria Math"/>
                <w:b/>
                <w:i/>
                <w:color w:val="0070C0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0070C0"/>
                <w:sz w:val="32"/>
                <w:szCs w:val="3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0070C0"/>
                <w:sz w:val="32"/>
                <w:szCs w:val="32"/>
              </w:rPr>
              <m:t>2,3</m:t>
            </m:r>
          </m:den>
        </m:f>
        <m:r>
          <m:rPr>
            <m:sty m:val="bi"/>
          </m:rPr>
          <w:rPr>
            <w:rFonts w:ascii="Cambria Math" w:hAnsi="Cambria Math"/>
            <w:color w:val="0070C0"/>
            <w:sz w:val="32"/>
            <w:szCs w:val="32"/>
          </w:rPr>
          <m:t xml:space="preserve">× </m:t>
        </m:r>
        <m:f>
          <m:fPr>
            <m:ctrlPr>
              <w:rPr>
                <w:rFonts w:ascii="Cambria Math" w:hAnsi="Cambria Math"/>
                <w:b/>
                <w:i/>
                <w:color w:val="0070C0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0070C0"/>
                <w:sz w:val="32"/>
                <w:szCs w:val="32"/>
              </w:rPr>
              <m:t>u(x)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0070C0"/>
                <w:sz w:val="32"/>
                <w:szCs w:val="32"/>
              </w:rPr>
              <m:t>x</m:t>
            </m:r>
          </m:den>
        </m:f>
      </m:oMath>
    </w:p>
    <w:p w:rsidR="004923FE" w:rsidRDefault="004923FE" w:rsidP="00EB154B">
      <w:pPr>
        <w:jc w:val="center"/>
      </w:pPr>
    </w:p>
    <w:p w:rsidR="004923FE" w:rsidRDefault="004923FE" w:rsidP="00EB154B">
      <w:pPr>
        <w:jc w:val="center"/>
      </w:pPr>
    </w:p>
    <w:p w:rsidR="00F850DA" w:rsidRDefault="00F850DA">
      <w:r>
        <w:t>Si on passe à l’incertitude élargie U(x), on applique un facteur l’élargissement égal à 2 :</w:t>
      </w:r>
    </w:p>
    <w:p w:rsidR="004923FE" w:rsidRDefault="004923FE"/>
    <w:p w:rsidR="00F850DA" w:rsidRDefault="003761D1" w:rsidP="00EB154B">
      <w:pPr>
        <w:jc w:val="center"/>
      </w:pPr>
      <w:r w:rsidRPr="003761D1">
        <w:rPr>
          <w:position w:val="-30"/>
        </w:rPr>
        <w:object w:dxaOrig="2880" w:dyaOrig="680">
          <v:shape id="_x0000_i1026" type="#_x0000_t75" style="width:2in;height:34.5pt" o:ole="">
            <v:imagedata r:id="rId9" o:title=""/>
          </v:shape>
          <o:OLEObject Type="Embed" ProgID="Equation.3" ShapeID="_x0000_i1026" DrawAspect="Content" ObjectID="_1417284081" r:id="rId10"/>
        </w:object>
      </w:r>
    </w:p>
    <w:p w:rsidR="00F850DA" w:rsidRDefault="00F850DA"/>
    <w:p w:rsidR="00F850DA" w:rsidRDefault="00EB154B">
      <w:r>
        <w:t xml:space="preserve">On constate donc que l’incertitude élargie sur la concentration représente 13 % de la concentration. </w:t>
      </w:r>
      <w:r w:rsidR="00480A4B">
        <w:t>On</w:t>
      </w:r>
      <w:r>
        <w:t xml:space="preserve"> peut alors considérer que l’on ne peut pas afficher plus de deux chiffres significatifs sur la concentration x ce qui revient  à n’afficher qu’un chiffre après la virgule si le premier chiffre est significatif !</w:t>
      </w:r>
    </w:p>
    <w:p w:rsidR="00EB154B" w:rsidRDefault="00EB154B"/>
    <w:p w:rsidR="00EB154B" w:rsidRDefault="009D264C">
      <w:r>
        <w:t xml:space="preserve">Par exemple, </w:t>
      </w:r>
      <w:r w:rsidR="00EB154B">
        <w:t xml:space="preserve"> si </w:t>
      </w:r>
      <w:r>
        <w:t>on</w:t>
      </w:r>
      <w:r w:rsidR="00EB154B">
        <w:t xml:space="preserve"> prend </w:t>
      </w:r>
      <w:r>
        <w:t>un</w:t>
      </w:r>
      <w:r w:rsidR="00EB154B">
        <w:t xml:space="preserve"> pH = 5,5 </w:t>
      </w:r>
      <w:r w:rsidR="009C2361">
        <w:t>(résolution 0,1)</w:t>
      </w:r>
      <w:r w:rsidR="00EB154B">
        <w:t>, on trouve</w:t>
      </w:r>
      <w:r>
        <w:t xml:space="preserve"> : </w:t>
      </w:r>
    </w:p>
    <w:p w:rsidR="00EB154B" w:rsidRDefault="00EB154B"/>
    <w:p w:rsidR="00EB154B" w:rsidRDefault="009D264C">
      <w:r>
        <w:tab/>
      </w:r>
      <w:r>
        <w:tab/>
      </w:r>
      <w:r w:rsidRPr="00022E7D">
        <w:rPr>
          <w:i/>
        </w:rPr>
        <w:t>x</w:t>
      </w:r>
      <w:r>
        <w:t xml:space="preserve"> = 3,16 × </w:t>
      </w:r>
      <w:r w:rsidR="00EB154B">
        <w:t>10</w:t>
      </w:r>
      <w:r w:rsidR="009C2361">
        <w:rPr>
          <w:vertAlign w:val="superscript"/>
        </w:rPr>
        <w:t>-6</w:t>
      </w:r>
      <w:r w:rsidR="00EB154B">
        <w:t xml:space="preserve"> </w:t>
      </w:r>
      <w:r w:rsidR="009C2361">
        <w:t xml:space="preserve"> mol/L avec une incertitude élargie de </w:t>
      </w:r>
      <w:r w:rsidR="00413643">
        <w:t> </w:t>
      </w:r>
      <w:r>
        <w:t xml:space="preserve">0,41 × </w:t>
      </w:r>
      <w:r w:rsidR="009C2361">
        <w:t>10</w:t>
      </w:r>
      <w:r w:rsidR="009C2361">
        <w:rPr>
          <w:vertAlign w:val="superscript"/>
        </w:rPr>
        <w:t>-6</w:t>
      </w:r>
      <w:r w:rsidR="009C2361">
        <w:t xml:space="preserve"> mol/L </w:t>
      </w:r>
    </w:p>
    <w:p w:rsidR="009C2361" w:rsidRDefault="009C2361"/>
    <w:p w:rsidR="009C2361" w:rsidRDefault="009C2361">
      <w:proofErr w:type="gramStart"/>
      <w:r>
        <w:t>avec</w:t>
      </w:r>
      <w:proofErr w:type="gramEnd"/>
      <w:r>
        <w:t xml:space="preserve"> les règles habituelles d’arrondi on écrirait donc :</w:t>
      </w:r>
    </w:p>
    <w:p w:rsidR="009C2361" w:rsidRDefault="009C2361"/>
    <w:p w:rsidR="009C2361" w:rsidRDefault="009C2361" w:rsidP="009C2361">
      <w:pPr>
        <w:jc w:val="center"/>
        <w:rPr>
          <w:sz w:val="28"/>
          <w:szCs w:val="28"/>
        </w:rPr>
      </w:pPr>
      <w:r w:rsidRPr="00022E7D">
        <w:rPr>
          <w:i/>
          <w:sz w:val="28"/>
          <w:szCs w:val="28"/>
          <w:highlight w:val="yellow"/>
        </w:rPr>
        <w:t>x</w:t>
      </w:r>
      <w:r w:rsidRPr="00022E7D">
        <w:rPr>
          <w:sz w:val="28"/>
          <w:szCs w:val="28"/>
          <w:highlight w:val="yellow"/>
        </w:rPr>
        <w:t> = (3,</w:t>
      </w:r>
      <w:r w:rsidR="00E632AC">
        <w:rPr>
          <w:sz w:val="28"/>
          <w:szCs w:val="28"/>
          <w:highlight w:val="yellow"/>
        </w:rPr>
        <w:t>2</w:t>
      </w:r>
      <w:r w:rsidRPr="00022E7D">
        <w:rPr>
          <w:sz w:val="28"/>
          <w:szCs w:val="28"/>
          <w:highlight w:val="yellow"/>
        </w:rPr>
        <w:t xml:space="preserve"> ± 0,4 )</w:t>
      </w:r>
      <w:r w:rsidR="009D264C" w:rsidRPr="00022E7D">
        <w:rPr>
          <w:sz w:val="28"/>
          <w:szCs w:val="28"/>
          <w:highlight w:val="yellow"/>
        </w:rPr>
        <w:t xml:space="preserve"> × </w:t>
      </w:r>
      <w:r w:rsidRPr="00022E7D">
        <w:rPr>
          <w:sz w:val="28"/>
          <w:szCs w:val="28"/>
          <w:highlight w:val="yellow"/>
        </w:rPr>
        <w:t>10</w:t>
      </w:r>
      <w:r w:rsidR="00413643" w:rsidRPr="00022E7D">
        <w:rPr>
          <w:sz w:val="28"/>
          <w:szCs w:val="28"/>
          <w:highlight w:val="yellow"/>
          <w:vertAlign w:val="superscript"/>
        </w:rPr>
        <w:t>-6 </w:t>
      </w:r>
      <w:r w:rsidR="00413643" w:rsidRPr="00022E7D">
        <w:rPr>
          <w:sz w:val="28"/>
          <w:szCs w:val="28"/>
          <w:highlight w:val="yellow"/>
        </w:rPr>
        <w:t xml:space="preserve"> </w:t>
      </w:r>
      <w:r w:rsidRPr="00022E7D">
        <w:rPr>
          <w:sz w:val="28"/>
          <w:szCs w:val="28"/>
          <w:highlight w:val="yellow"/>
        </w:rPr>
        <w:t>mol/L</w:t>
      </w:r>
      <w:bookmarkStart w:id="0" w:name="_GoBack"/>
      <w:bookmarkEnd w:id="0"/>
    </w:p>
    <w:p w:rsidR="00947825" w:rsidRPr="00022E7D" w:rsidRDefault="00947825" w:rsidP="009C2361">
      <w:pPr>
        <w:jc w:val="center"/>
        <w:rPr>
          <w:sz w:val="28"/>
          <w:szCs w:val="28"/>
        </w:rPr>
      </w:pPr>
    </w:p>
    <w:p w:rsidR="00413643" w:rsidRDefault="00413643"/>
    <w:p w:rsidR="009C2361" w:rsidRDefault="009D264C">
      <w:r>
        <w:t xml:space="preserve">Autre exemple avec un pH = 5,95 et </w:t>
      </w:r>
      <w:r w:rsidR="00413643">
        <w:t xml:space="preserve">avec le même calcul </w:t>
      </w:r>
      <w:r>
        <w:t>on a</w:t>
      </w:r>
      <w:r w:rsidR="00413643">
        <w:t> :</w:t>
      </w:r>
    </w:p>
    <w:p w:rsidR="00413643" w:rsidRDefault="00413643"/>
    <w:p w:rsidR="00413643" w:rsidRDefault="009D264C" w:rsidP="00413643">
      <w:r>
        <w:tab/>
      </w:r>
      <w:r w:rsidRPr="00947825">
        <w:rPr>
          <w:i/>
        </w:rPr>
        <w:t>x</w:t>
      </w:r>
      <w:r>
        <w:t xml:space="preserve"> = 1,12 × </w:t>
      </w:r>
      <w:r w:rsidR="00413643">
        <w:t>10</w:t>
      </w:r>
      <w:r w:rsidR="00413643">
        <w:rPr>
          <w:vertAlign w:val="superscript"/>
        </w:rPr>
        <w:t>-6</w:t>
      </w:r>
      <w:r w:rsidR="00413643">
        <w:t xml:space="preserve">  mol/L avec une incertitude élargie de 0,15</w:t>
      </w:r>
      <w:r>
        <w:t xml:space="preserve"> × </w:t>
      </w:r>
      <w:r w:rsidR="00413643">
        <w:t>10</w:t>
      </w:r>
      <w:r w:rsidR="00413643">
        <w:rPr>
          <w:vertAlign w:val="superscript"/>
        </w:rPr>
        <w:t>-6</w:t>
      </w:r>
      <w:r w:rsidR="00413643">
        <w:t xml:space="preserve"> mol/L </w:t>
      </w:r>
    </w:p>
    <w:p w:rsidR="00413643" w:rsidRDefault="00413643" w:rsidP="00413643"/>
    <w:p w:rsidR="00413643" w:rsidRDefault="00413643" w:rsidP="00413643">
      <w:proofErr w:type="gramStart"/>
      <w:r>
        <w:t>avec</w:t>
      </w:r>
      <w:proofErr w:type="gramEnd"/>
      <w:r>
        <w:t xml:space="preserve"> les règles habituelles d’arrondi on écrirait donc :</w:t>
      </w:r>
    </w:p>
    <w:p w:rsidR="00413643" w:rsidRDefault="00413643" w:rsidP="00413643"/>
    <w:p w:rsidR="00413643" w:rsidRPr="00022E7D" w:rsidRDefault="00413643" w:rsidP="00413643">
      <w:pPr>
        <w:jc w:val="center"/>
        <w:rPr>
          <w:sz w:val="28"/>
          <w:szCs w:val="28"/>
        </w:rPr>
      </w:pPr>
      <w:r w:rsidRPr="00022E7D">
        <w:rPr>
          <w:i/>
          <w:sz w:val="28"/>
          <w:szCs w:val="28"/>
          <w:highlight w:val="yellow"/>
        </w:rPr>
        <w:t>x</w:t>
      </w:r>
      <w:r w:rsidRPr="00022E7D">
        <w:rPr>
          <w:sz w:val="28"/>
          <w:szCs w:val="28"/>
          <w:highlight w:val="yellow"/>
        </w:rPr>
        <w:t> = (1,1 ± 0,2)</w:t>
      </w:r>
      <w:r w:rsidR="00BC2DDD" w:rsidRPr="00022E7D">
        <w:rPr>
          <w:sz w:val="28"/>
          <w:szCs w:val="28"/>
          <w:highlight w:val="yellow"/>
        </w:rPr>
        <w:t xml:space="preserve"> × </w:t>
      </w:r>
      <w:r w:rsidRPr="00022E7D">
        <w:rPr>
          <w:sz w:val="28"/>
          <w:szCs w:val="28"/>
          <w:highlight w:val="yellow"/>
        </w:rPr>
        <w:t>10</w:t>
      </w:r>
      <w:r w:rsidRPr="00022E7D">
        <w:rPr>
          <w:sz w:val="28"/>
          <w:szCs w:val="28"/>
          <w:highlight w:val="yellow"/>
          <w:vertAlign w:val="superscript"/>
        </w:rPr>
        <w:t>-6 </w:t>
      </w:r>
      <w:r w:rsidRPr="00022E7D">
        <w:rPr>
          <w:sz w:val="28"/>
          <w:szCs w:val="28"/>
          <w:highlight w:val="yellow"/>
        </w:rPr>
        <w:t xml:space="preserve"> mol/L</w:t>
      </w:r>
    </w:p>
    <w:p w:rsidR="00413643" w:rsidRDefault="00413643" w:rsidP="00413643">
      <w:pPr>
        <w:jc w:val="center"/>
      </w:pPr>
    </w:p>
    <w:p w:rsidR="00413643" w:rsidRDefault="00413643" w:rsidP="00413643">
      <w:pPr>
        <w:jc w:val="center"/>
      </w:pPr>
    </w:p>
    <w:p w:rsidR="00BF41DA" w:rsidRDefault="00BF41DA" w:rsidP="00413643">
      <w:pPr>
        <w:jc w:val="center"/>
      </w:pPr>
    </w:p>
    <w:sectPr w:rsidR="00BF41DA" w:rsidSect="00480A4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DF45FF"/>
    <w:multiLevelType w:val="hybridMultilevel"/>
    <w:tmpl w:val="31EEE486"/>
    <w:lvl w:ilvl="0" w:tplc="331E5090">
      <w:start w:val="1"/>
      <w:numFmt w:val="decimal"/>
      <w:pStyle w:val="titredexercice"/>
      <w:lvlText w:val="%1)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outline w:val="0"/>
        <w:shadow w:val="0"/>
        <w:emboss/>
        <w:imprint w:val="0"/>
        <w:sz w:val="28"/>
        <w:u w:val="thick"/>
      </w:rPr>
    </w:lvl>
    <w:lvl w:ilvl="1" w:tplc="7AD6D0EC">
      <w:start w:val="1"/>
      <w:numFmt w:val="decimal"/>
      <w:pStyle w:val="question1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F850DA"/>
    <w:rsid w:val="00022E7D"/>
    <w:rsid w:val="00183421"/>
    <w:rsid w:val="00204244"/>
    <w:rsid w:val="00255C09"/>
    <w:rsid w:val="002861EC"/>
    <w:rsid w:val="003761D1"/>
    <w:rsid w:val="00413643"/>
    <w:rsid w:val="0042159D"/>
    <w:rsid w:val="00480A4B"/>
    <w:rsid w:val="00487BBA"/>
    <w:rsid w:val="004923FE"/>
    <w:rsid w:val="00570913"/>
    <w:rsid w:val="005A5DC3"/>
    <w:rsid w:val="0065433E"/>
    <w:rsid w:val="00863875"/>
    <w:rsid w:val="00947825"/>
    <w:rsid w:val="009811A6"/>
    <w:rsid w:val="009C14D3"/>
    <w:rsid w:val="009C2361"/>
    <w:rsid w:val="009D264C"/>
    <w:rsid w:val="00A56442"/>
    <w:rsid w:val="00AB5144"/>
    <w:rsid w:val="00BC2DDD"/>
    <w:rsid w:val="00BF41DA"/>
    <w:rsid w:val="00D31D8E"/>
    <w:rsid w:val="00E632AC"/>
    <w:rsid w:val="00EB154B"/>
    <w:rsid w:val="00F0073A"/>
    <w:rsid w:val="00F03E22"/>
    <w:rsid w:val="00F4157E"/>
    <w:rsid w:val="00F5654F"/>
    <w:rsid w:val="00F850DA"/>
    <w:rsid w:val="00FB331C"/>
    <w:rsid w:val="00FD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napToGrid w:val="0"/>
      <w:sz w:val="24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dexo">
    <w:name w:val="titre d'exo"/>
    <w:basedOn w:val="titredexercice"/>
    <w:autoRedefine/>
    <w:rsid w:val="00AB5144"/>
    <w:pPr>
      <w:numPr>
        <w:numId w:val="0"/>
      </w:numPr>
      <w:outlineLvl w:val="1"/>
    </w:pPr>
  </w:style>
  <w:style w:type="paragraph" w:customStyle="1" w:styleId="Style1">
    <w:name w:val="Style1"/>
    <w:basedOn w:val="Normal"/>
    <w:autoRedefine/>
    <w:rsid w:val="002861EC"/>
    <w:pPr>
      <w:overflowPunct w:val="0"/>
      <w:autoSpaceDE w:val="0"/>
      <w:autoSpaceDN w:val="0"/>
      <w:adjustRightInd w:val="0"/>
      <w:spacing w:line="360" w:lineRule="atLeast"/>
      <w:jc w:val="center"/>
      <w:textAlignment w:val="baseline"/>
    </w:pPr>
    <w:rPr>
      <w:rFonts w:ascii="Comic Sans MS" w:hAnsi="Comic Sans MS"/>
      <w:b/>
      <w:bCs/>
      <w:sz w:val="28"/>
      <w:szCs w:val="28"/>
    </w:rPr>
  </w:style>
  <w:style w:type="paragraph" w:customStyle="1" w:styleId="question1">
    <w:name w:val="question1"/>
    <w:basedOn w:val="Normal"/>
    <w:autoRedefine/>
    <w:rsid w:val="00AB5144"/>
    <w:pPr>
      <w:numPr>
        <w:ilvl w:val="1"/>
        <w:numId w:val="5"/>
      </w:numPr>
      <w:spacing w:line="360" w:lineRule="auto"/>
    </w:pPr>
    <w:rPr>
      <w:position w:val="-12"/>
    </w:rPr>
  </w:style>
  <w:style w:type="paragraph" w:customStyle="1" w:styleId="titre">
    <w:name w:val="titre"/>
    <w:basedOn w:val="Normal"/>
    <w:autoRedefine/>
    <w:rsid w:val="00AB5144"/>
    <w:pPr>
      <w:overflowPunct w:val="0"/>
      <w:autoSpaceDE w:val="0"/>
      <w:autoSpaceDN w:val="0"/>
      <w:adjustRightInd w:val="0"/>
      <w:spacing w:before="240" w:after="240" w:line="360" w:lineRule="atLeast"/>
      <w:jc w:val="center"/>
      <w:textAlignment w:val="baseline"/>
    </w:pPr>
    <w:rPr>
      <w:rFonts w:ascii="Comic Sans MS" w:hAnsi="Comic Sans MS"/>
      <w:b/>
      <w:bCs/>
      <w:sz w:val="28"/>
      <w:szCs w:val="28"/>
    </w:rPr>
  </w:style>
  <w:style w:type="paragraph" w:customStyle="1" w:styleId="titredexercice">
    <w:name w:val="titre d'exercice"/>
    <w:basedOn w:val="Normal"/>
    <w:autoRedefine/>
    <w:rsid w:val="00AB5144"/>
    <w:pPr>
      <w:numPr>
        <w:numId w:val="5"/>
      </w:numPr>
      <w:spacing w:before="240" w:after="120" w:line="360" w:lineRule="auto"/>
      <w:jc w:val="both"/>
    </w:pPr>
    <w:rPr>
      <w:rFonts w:ascii="Comic Sans MS" w:hAnsi="Comic Sans MS"/>
      <w:b/>
    </w:rPr>
  </w:style>
  <w:style w:type="paragraph" w:customStyle="1" w:styleId="titre1">
    <w:name w:val="titre 1"/>
    <w:basedOn w:val="Normal"/>
    <w:autoRedefine/>
    <w:rsid w:val="00AB5144"/>
    <w:pPr>
      <w:overflowPunct w:val="0"/>
      <w:autoSpaceDE w:val="0"/>
      <w:autoSpaceDN w:val="0"/>
      <w:adjustRightInd w:val="0"/>
      <w:spacing w:before="360" w:after="240" w:line="360" w:lineRule="atLeast"/>
      <w:jc w:val="center"/>
      <w:textAlignment w:val="baseline"/>
      <w:outlineLvl w:val="0"/>
    </w:pPr>
    <w:rPr>
      <w:rFonts w:ascii="Comic Sans MS" w:hAnsi="Comic Sans MS"/>
      <w:b/>
      <w:bCs/>
      <w:sz w:val="28"/>
      <w:szCs w:val="28"/>
    </w:rPr>
  </w:style>
  <w:style w:type="character" w:styleId="Marquedecommentaire">
    <w:name w:val="annotation reference"/>
    <w:semiHidden/>
    <w:rsid w:val="00BF41DA"/>
    <w:rPr>
      <w:sz w:val="16"/>
      <w:szCs w:val="16"/>
    </w:rPr>
  </w:style>
  <w:style w:type="paragraph" w:styleId="Commentaire">
    <w:name w:val="annotation text"/>
    <w:basedOn w:val="Normal"/>
    <w:semiHidden/>
    <w:rsid w:val="00BF41DA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F41DA"/>
    <w:rPr>
      <w:b/>
      <w:bCs/>
    </w:rPr>
  </w:style>
  <w:style w:type="paragraph" w:styleId="Textedebulles">
    <w:name w:val="Balloon Text"/>
    <w:basedOn w:val="Normal"/>
    <w:semiHidden/>
    <w:rsid w:val="00BF41DA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9811A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VEQUE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3785D1C5-7876-409E-81A5-481D645400B0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81</TotalTime>
  <Pages>1</Pages>
  <Words>239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Quelques réflexions sur le sujet</vt:lpstr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Quelques réflexions sur le sujet</dc:title>
  <dc:subject/>
  <dc:creator>Dominique OBERT</dc:creator>
  <cp:keywords/>
  <cp:lastModifiedBy>LEVEQUE</cp:lastModifiedBy>
  <cp:revision>8</cp:revision>
  <dcterms:created xsi:type="dcterms:W3CDTF">2012-12-11T08:19:00Z</dcterms:created>
  <dcterms:modified xsi:type="dcterms:W3CDTF">2012-12-17T20:15:00Z</dcterms:modified>
</cp:coreProperties>
</file>